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9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134"/>
        <w:gridCol w:w="1135"/>
        <w:gridCol w:w="3404"/>
        <w:gridCol w:w="2979"/>
        <w:gridCol w:w="898"/>
      </w:tblGrid>
      <w:tr w:rsidR="00DC2FFF" w:rsidRPr="00300D09" w:rsidTr="00DC2FFF">
        <w:trPr>
          <w:tblCellSpacing w:w="0" w:type="dxa"/>
        </w:trPr>
        <w:tc>
          <w:tcPr>
            <w:tcW w:w="10517" w:type="dxa"/>
            <w:gridSpan w:val="6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DC2FFF" w:rsidRDefault="00DC2FFF" w:rsidP="00DC2FFF">
            <w:pPr>
              <w:widowControl/>
              <w:jc w:val="center"/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1131010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梯次全國中學生閱讀心得比賽本校得獎名單</w:t>
            </w:r>
          </w:p>
        </w:tc>
      </w:tr>
      <w:tr w:rsidR="00DC2FFF" w:rsidRPr="00300D09" w:rsidTr="00DC2FFF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DC2FFF" w:rsidRPr="00300D09" w:rsidRDefault="00DC2FFF" w:rsidP="00300D09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班級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DC2FFF" w:rsidRPr="00300D09" w:rsidRDefault="00DC2FFF" w:rsidP="00300D09">
            <w:pPr>
              <w:widowControl/>
              <w:rPr>
                <w:rFonts w:ascii="Arial" w:eastAsia="新細明體" w:hAnsi="Arial" w:cs="Arial" w:hint="eastAsia"/>
                <w:color w:val="212529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DC2FFF" w:rsidRDefault="00DC2FFF" w:rsidP="00300D09">
            <w:pPr>
              <w:widowControl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12529"/>
                <w:kern w:val="0"/>
                <w:szCs w:val="24"/>
              </w:rPr>
              <w:t>指導</w:t>
            </w:r>
          </w:p>
          <w:p w:rsidR="00DC2FFF" w:rsidRPr="00300D09" w:rsidRDefault="00DC2FFF" w:rsidP="00300D09">
            <w:pPr>
              <w:widowControl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12529"/>
                <w:kern w:val="0"/>
                <w:szCs w:val="24"/>
              </w:rPr>
              <w:t>老師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DC2FFF" w:rsidRPr="00300D09" w:rsidRDefault="00DC2FFF" w:rsidP="00300D09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作品標題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DC2FFF" w:rsidRPr="00300D09" w:rsidRDefault="00DC2FFF" w:rsidP="00300D09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閱讀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書名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DC2FFF" w:rsidRPr="00300D09" w:rsidRDefault="00DC2FFF" w:rsidP="00300D09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名次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proofErr w:type="gramStart"/>
            <w:r w:rsidRPr="00594904">
              <w:rPr>
                <w:rFonts w:hint="eastAsia"/>
              </w:rPr>
              <w:t>盧</w:t>
            </w:r>
            <w:proofErr w:type="gramEnd"/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宇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黃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普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換角度，新結果！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正義：一場思辨之旅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  <w:t>特優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洪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澤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謝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金融怪傑：全球頂尖交易高手對談錄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金融怪傑：全球頂尖交易高手對談錄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  <w:t>特優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陳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憲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白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仙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記憶像鐵軌一樣長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記憶像鐵軌一樣長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  <w:t>特優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林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睿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林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柔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蒼蠅王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蒼蠅王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  <w:t>特優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吳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諺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正義思辨之旅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正義：一場思辨之旅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  <w:t>特優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proofErr w:type="gramStart"/>
            <w:r w:rsidRPr="00594904">
              <w:rPr>
                <w:rFonts w:hint="eastAsia"/>
              </w:rPr>
              <w:t>鍾</w:t>
            </w:r>
            <w:proofErr w:type="gramEnd"/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軒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林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柔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元的高雄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元的高雄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  <w:t>特優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趙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睿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謝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黑暗森林是你的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的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「謊言」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三體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II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：黑暗森林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FF0000"/>
                <w:kern w:val="0"/>
                <w:szCs w:val="24"/>
              </w:rPr>
              <w:t>特優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伍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翰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前往一條永無止盡的思辨之路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正義：一場思辨之旅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朱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男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黃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卿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「從希望到絕望：〈蒼蠅王〉中的秩序瓦解與人性暗流」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蒼蠅王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proofErr w:type="gramStart"/>
            <w:r w:rsidRPr="00594904">
              <w:rPr>
                <w:rFonts w:hint="eastAsia"/>
              </w:rPr>
              <w:t>郭</w:t>
            </w:r>
            <w:proofErr w:type="gramEnd"/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慶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蕭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玉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單車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失竊記讀後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心得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單車失竊記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林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陞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蕭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玉</w:t>
            </w:r>
            <w:r w:rsidRPr="00300D09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謝</w:t>
            </w:r>
            <w:proofErr w:type="gramEnd"/>
            <w:r w:rsidRPr="00F82C75">
              <w:rPr>
                <w:rFonts w:hint="eastAsia"/>
              </w:rPr>
              <w:t>O</w:t>
            </w:r>
            <w:r w:rsidRPr="00300D09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真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虛假面具下的人心掙扎與墮落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朱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珠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蕭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玉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秩序的崩潰與人性的試煉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——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《蒼蠅王》中的黑暗真相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蒼蠅王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李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彥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醫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者的淬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鍊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之路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實習醫生的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祕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密手記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黃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蘋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蕭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玉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正義：一場思辨之旅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正義：一場思辨之旅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黃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學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proofErr w:type="gramStart"/>
            <w:r w:rsidRPr="00F82C75">
              <w:rPr>
                <w:rFonts w:hint="eastAsia"/>
              </w:rPr>
              <w:t>蔡</w:t>
            </w:r>
            <w:proofErr w:type="gramEnd"/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融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好事？壞事？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別讓現在的壞事，趕走未來的好事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鄭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偉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proofErr w:type="gramStart"/>
            <w:r w:rsidRPr="00F82C75">
              <w:rPr>
                <w:rFonts w:hint="eastAsia"/>
              </w:rPr>
              <w:t>蔡</w:t>
            </w:r>
            <w:proofErr w:type="gramEnd"/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勳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心聲與辛生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——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做工的人閱讀心得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做工的人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李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廷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生命終究會找到它的出口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做工的人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方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宇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面對自我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——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人間失格之我讀我感我見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劉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誠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陳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盈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基因自私與否？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自私的基因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陳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鈞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沉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淪</w:t>
            </w:r>
            <w:bookmarkStart w:id="0" w:name="_GoBack"/>
            <w:bookmarkEnd w:id="0"/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lastRenderedPageBreak/>
              <w:t>320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林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棣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謝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追逐自身的黑影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——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地海巫師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地海巫師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proofErr w:type="gramStart"/>
            <w:r w:rsidRPr="00594904">
              <w:rPr>
                <w:rFonts w:hint="eastAsia"/>
              </w:rPr>
              <w:t>郭</w:t>
            </w:r>
            <w:proofErr w:type="gramEnd"/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庭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蒼蠅王之我見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蒼蠅王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古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硯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被汗浸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溼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的藍領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被汗浸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溼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的藍領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王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衡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實習醫生的秘密手記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實習醫生的秘密手記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1</w:t>
            </w: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王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一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世人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蕭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智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今人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觀古事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：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《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今文觀止：試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從故紙看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今朝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 xml:space="preserve"> 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》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讀後感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今文觀止：試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從故紙看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今朝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4472C4" w:themeColor="accent1"/>
                <w:kern w:val="0"/>
                <w:szCs w:val="24"/>
              </w:rPr>
              <w:t>優等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戴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鴻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蕭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玉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失格人間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許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洲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身而為人，我很抱歉</w:t>
            </w:r>
            <w:proofErr w:type="gramStart"/>
            <w:r w:rsidRPr="00300D09">
              <w:rPr>
                <w:rFonts w:ascii="微軟正黑體" w:eastAsia="微軟正黑體" w:hAnsi="微軟正黑體" w:cs="微軟正黑體"/>
                <w:color w:val="212529"/>
                <w:kern w:val="0"/>
                <w:szCs w:val="24"/>
              </w:rPr>
              <w:t>──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我讀《人間失格》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陳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筑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黃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普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人間失格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proofErr w:type="gramStart"/>
            <w:r w:rsidRPr="00594904">
              <w:rPr>
                <w:rFonts w:hint="eastAsia"/>
              </w:rPr>
              <w:t>蔡</w:t>
            </w:r>
            <w:proofErr w:type="gramEnd"/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晟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謝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現代問題，「道」也能解決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老子說放下得失，人生更從容：不計較、不強求、不執著，大家反而來成就你的正向生活指引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汪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杰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黃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普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文詠：一場與內在對話的旅程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文詠：一場與內在對話的旅程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鄭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程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春日的偶遇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春日的偶遇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鐘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洧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謝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雯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魯迅名著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:&lt;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藥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&gt;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之深入探討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藥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1</w:t>
            </w: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翁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恩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――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一場與內在對話的旅程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文詠－一場與內在對話的旅程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陳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謙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工地生機，現代傅說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做工的人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1</w:t>
            </w: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莊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勝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文詠一場與內在對話的旅程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歐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辰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r w:rsidRPr="00300D09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郭</w:t>
            </w:r>
            <w:proofErr w:type="gramEnd"/>
            <w:r w:rsidRPr="00F82C75">
              <w:rPr>
                <w:rFonts w:hint="eastAsia"/>
              </w:rPr>
              <w:t>O</w:t>
            </w:r>
            <w:r w:rsidRPr="00300D09">
              <w:rPr>
                <w:rFonts w:ascii="Arial" w:eastAsia="新細明體" w:hAnsi="Arial" w:cs="Arial"/>
                <w:color w:val="212529"/>
                <w:kern w:val="0"/>
                <w:szCs w:val="24"/>
              </w:rPr>
              <w:t>凡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失去與回憶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單車失竊記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顏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奕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謝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心型迷宮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先別急著挑戰人性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吳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辰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林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柔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做工的人閱讀心得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做工的人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陳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杰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黃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卿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: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一場與內在對話的旅程閱讀心得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請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問侯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文詠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: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一場與內在對話的旅程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proofErr w:type="gramStart"/>
            <w:r w:rsidRPr="00594904">
              <w:rPr>
                <w:rFonts w:hint="eastAsia"/>
              </w:rPr>
              <w:t>薛</w:t>
            </w:r>
            <w:proofErr w:type="gramEnd"/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選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林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柔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原來基因是藏鏡人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自私的基因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lastRenderedPageBreak/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王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豪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林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柔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正義：一場思辨之旅閱讀心得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正義：一場思辨之旅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陳</w:t>
            </w:r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勳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黃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卿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「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醫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」生「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醫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」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世</w:t>
            </w:r>
            <w:proofErr w:type="gramEnd"/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實習醫生的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祕</w:t>
            </w:r>
            <w:proofErr w:type="gramEnd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密手記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proofErr w:type="gramStart"/>
            <w:r w:rsidRPr="00594904">
              <w:rPr>
                <w:rFonts w:hint="eastAsia"/>
              </w:rPr>
              <w:t>薛</w:t>
            </w:r>
            <w:proofErr w:type="gramEnd"/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元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蕭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玉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正義，一場</w:t>
            </w: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烏托邦式的辯論</w:t>
            </w:r>
            <w:proofErr w:type="gramEnd"/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 xml:space="preserve"> 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一場思辨之旅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馬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鑫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曾</w:t>
            </w:r>
            <w:r w:rsidRPr="00F82C75">
              <w:rPr>
                <w:rFonts w:hint="eastAsia"/>
              </w:rPr>
              <w:t>O</w:t>
            </w:r>
            <w:proofErr w:type="gramStart"/>
            <w:r w:rsidRPr="00F82C75">
              <w:rPr>
                <w:rFonts w:hint="eastAsia"/>
              </w:rPr>
              <w:t>萭</w:t>
            </w:r>
            <w:proofErr w:type="gramEnd"/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《單車失竊記》閱讀心得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單車失竊記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陳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愷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35B86" w:rsidRPr="00F82C75" w:rsidRDefault="00535B86" w:rsidP="00535B86">
            <w:pPr>
              <w:rPr>
                <w:rFonts w:hint="eastAsia"/>
              </w:rPr>
            </w:pPr>
            <w:r w:rsidRPr="00F82C75">
              <w:rPr>
                <w:rFonts w:hint="eastAsia"/>
              </w:rPr>
              <w:t>蕭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玉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冰冷卻深情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proofErr w:type="gramStart"/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冷海情深</w:t>
            </w:r>
            <w:proofErr w:type="gramEnd"/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535B86" w:rsidRPr="00300D09" w:rsidTr="005228B5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35B86" w:rsidRPr="00594904" w:rsidRDefault="00535B86" w:rsidP="00535B86">
            <w:pPr>
              <w:rPr>
                <w:rFonts w:hint="eastAsia"/>
              </w:rPr>
            </w:pPr>
            <w:r w:rsidRPr="00594904">
              <w:rPr>
                <w:rFonts w:hint="eastAsia"/>
              </w:rPr>
              <w:t>吳</w:t>
            </w:r>
            <w:r w:rsidRPr="00594904">
              <w:rPr>
                <w:rFonts w:hint="eastAsia"/>
              </w:rPr>
              <w:t>O</w:t>
            </w:r>
            <w:proofErr w:type="gramStart"/>
            <w:r w:rsidRPr="00594904">
              <w:rPr>
                <w:rFonts w:hint="eastAsia"/>
              </w:rPr>
              <w:t>翰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35B86" w:rsidRDefault="00535B86" w:rsidP="00535B86">
            <w:r w:rsidRPr="00F82C75">
              <w:rPr>
                <w:rFonts w:hint="eastAsia"/>
              </w:rPr>
              <w:t>林</w:t>
            </w:r>
            <w:r w:rsidRPr="00F82C75">
              <w:rPr>
                <w:rFonts w:hint="eastAsia"/>
              </w:rPr>
              <w:t>O</w:t>
            </w:r>
            <w:r w:rsidRPr="00F82C75">
              <w:rPr>
                <w:rFonts w:hint="eastAsia"/>
              </w:rPr>
              <w:t>柔</w:t>
            </w: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元的高雄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元的高雄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535B86" w:rsidRPr="00300D09" w:rsidRDefault="00535B86" w:rsidP="00535B8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  <w:tr w:rsidR="00EB57AE" w:rsidRPr="00300D09" w:rsidTr="0018590D">
        <w:trPr>
          <w:tblCellSpacing w:w="0" w:type="dxa"/>
        </w:trPr>
        <w:tc>
          <w:tcPr>
            <w:tcW w:w="967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B57AE" w:rsidRPr="00300D09" w:rsidRDefault="00EB57AE" w:rsidP="00EB57AE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B57AE" w:rsidRDefault="00EB57AE" w:rsidP="00EB57AE">
            <w:proofErr w:type="gramStart"/>
            <w:r w:rsidRPr="00594904">
              <w:rPr>
                <w:rFonts w:hint="eastAsia"/>
              </w:rPr>
              <w:t>蔡</w:t>
            </w:r>
            <w:proofErr w:type="gramEnd"/>
            <w:r w:rsidRPr="00594904">
              <w:rPr>
                <w:rFonts w:hint="eastAsia"/>
              </w:rPr>
              <w:t>O</w:t>
            </w:r>
            <w:r w:rsidRPr="00594904">
              <w:rPr>
                <w:rFonts w:hint="eastAsia"/>
              </w:rPr>
              <w:t>瑋</w:t>
            </w:r>
          </w:p>
        </w:tc>
        <w:tc>
          <w:tcPr>
            <w:tcW w:w="11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B57AE" w:rsidRPr="00300D09" w:rsidRDefault="00EB57AE" w:rsidP="00EB57AE">
            <w:pPr>
              <w:widowControl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B57AE" w:rsidRPr="00300D09" w:rsidRDefault="00EB57AE" w:rsidP="00EB57AE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 xml:space="preserve"> 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一場思辨之旅</w:t>
            </w:r>
          </w:p>
        </w:tc>
        <w:tc>
          <w:tcPr>
            <w:tcW w:w="297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B57AE" w:rsidRPr="00300D09" w:rsidRDefault="00EB57AE" w:rsidP="00EB57AE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正義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 xml:space="preserve"> </w:t>
            </w: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一場思辨之旅</w:t>
            </w:r>
          </w:p>
        </w:tc>
        <w:tc>
          <w:tcPr>
            <w:tcW w:w="898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B57AE" w:rsidRPr="00300D09" w:rsidRDefault="00EB57AE" w:rsidP="00EB57AE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300D0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甲等</w:t>
            </w:r>
          </w:p>
        </w:tc>
      </w:tr>
    </w:tbl>
    <w:p w:rsidR="006B6D56" w:rsidRDefault="006B6D56" w:rsidP="00DC2FFF">
      <w:pPr>
        <w:widowControl/>
      </w:pPr>
    </w:p>
    <w:sectPr w:rsidR="006B6D56" w:rsidSect="00300D09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09"/>
    <w:rsid w:val="002378F3"/>
    <w:rsid w:val="00300D09"/>
    <w:rsid w:val="00535B86"/>
    <w:rsid w:val="006B6D56"/>
    <w:rsid w:val="00CC42DF"/>
    <w:rsid w:val="00DC2FFF"/>
    <w:rsid w:val="00E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FE97"/>
  <w15:chartTrackingRefBased/>
  <w15:docId w15:val="{36137AB5-9E1C-4986-982D-E0831B2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300D09"/>
  </w:style>
  <w:style w:type="paragraph" w:customStyle="1" w:styleId="msonormal0">
    <w:name w:val="msonormal"/>
    <w:basedOn w:val="a"/>
    <w:rsid w:val="00300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00D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0D0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00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2024-11-21T00:32:00Z</cp:lastPrinted>
  <dcterms:created xsi:type="dcterms:W3CDTF">2024-11-21T01:44:00Z</dcterms:created>
  <dcterms:modified xsi:type="dcterms:W3CDTF">2024-11-21T01:44:00Z</dcterms:modified>
</cp:coreProperties>
</file>